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/>
    <w:p w:rsidR="00345081" w:rsidRDefault="006345BE" w:rsidP="006345B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  <w:r w:rsidRPr="00C26EF5">
        <w:rPr>
          <w:rFonts w:ascii="Arial" w:hAnsi="Arial" w:cs="Arial"/>
          <w:sz w:val="22"/>
        </w:rPr>
        <w:t>.</w:t>
      </w:r>
      <w:r w:rsidRPr="00C26EF5">
        <w:rPr>
          <w:rFonts w:ascii="Arial" w:hAnsi="Arial" w:cs="Arial"/>
          <w:sz w:val="22"/>
        </w:rPr>
        <w:tab/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89311A" w:rsidRDefault="0089311A" w:rsidP="0089311A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076B61" w:rsidRPr="001E1126" w:rsidRDefault="00076B61" w:rsidP="00172807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bookmarkStart w:id="0" w:name="_Hlk216681929"/>
      <w:r w:rsidR="00274C00">
        <w:rPr>
          <w:rFonts w:ascii="Arial" w:hAnsi="Arial" w:cs="Arial"/>
          <w:b/>
          <w:sz w:val="22"/>
          <w:szCs w:val="22"/>
        </w:rPr>
        <w:t>Linda Isabel Barrientos Vargas de Cruz</w:t>
      </w:r>
      <w:bookmarkEnd w:id="0"/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6272B2">
        <w:rPr>
          <w:rFonts w:ascii="Arial" w:hAnsi="Arial" w:cs="Arial"/>
          <w:b/>
          <w:sz w:val="22"/>
          <w:szCs w:val="22"/>
        </w:rPr>
        <w:t>28</w:t>
      </w:r>
      <w:r w:rsidR="00981824">
        <w:rPr>
          <w:rFonts w:ascii="Arial" w:hAnsi="Arial" w:cs="Arial"/>
          <w:b/>
          <w:sz w:val="22"/>
          <w:szCs w:val="22"/>
        </w:rPr>
        <w:t>/</w:t>
      </w:r>
      <w:r w:rsidR="00940CE5">
        <w:rPr>
          <w:rFonts w:ascii="Arial" w:hAnsi="Arial" w:cs="Arial"/>
          <w:b/>
          <w:sz w:val="22"/>
          <w:szCs w:val="22"/>
        </w:rPr>
        <w:t>0</w:t>
      </w:r>
      <w:r w:rsidR="006272B2">
        <w:rPr>
          <w:rFonts w:ascii="Arial" w:hAnsi="Arial" w:cs="Arial"/>
          <w:b/>
          <w:sz w:val="22"/>
          <w:szCs w:val="22"/>
        </w:rPr>
        <w:t>2</w:t>
      </w:r>
      <w:r w:rsidR="00940CE5">
        <w:rPr>
          <w:rFonts w:ascii="Arial" w:hAnsi="Arial" w:cs="Arial"/>
          <w:b/>
          <w:sz w:val="22"/>
          <w:szCs w:val="22"/>
        </w:rPr>
        <w:t>/</w:t>
      </w:r>
      <w:r w:rsidR="00981824">
        <w:rPr>
          <w:rFonts w:ascii="Arial" w:hAnsi="Arial" w:cs="Arial"/>
          <w:b/>
          <w:sz w:val="22"/>
          <w:szCs w:val="22"/>
        </w:rPr>
        <w:t>202</w:t>
      </w:r>
      <w:r w:rsidR="00940CE5">
        <w:rPr>
          <w:rFonts w:ascii="Arial" w:hAnsi="Arial" w:cs="Arial"/>
          <w:b/>
          <w:sz w:val="22"/>
          <w:szCs w:val="22"/>
        </w:rPr>
        <w:t>6</w:t>
      </w: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rFonts w:ascii="Arial" w:hAnsi="Arial" w:cs="Arial"/>
          <w:b/>
          <w:sz w:val="22"/>
          <w:szCs w:val="22"/>
        </w:rPr>
      </w:pP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1E112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11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1E112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076B61" w:rsidRP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E1126">
        <w:rPr>
          <w:rFonts w:ascii="Arial" w:hAnsi="Arial" w:cs="Arial"/>
          <w:b/>
          <w:bCs/>
          <w:color w:val="000000"/>
          <w:sz w:val="22"/>
          <w:szCs w:val="22"/>
        </w:rPr>
        <w:t>CONTRATACIONES DE BIENES Y SERVICIO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</w:p>
    <w:tbl>
      <w:tblPr>
        <w:tblpPr w:leftFromText="141" w:rightFromText="141" w:vertAnchor="page" w:horzAnchor="margin" w:tblpXSpec="center" w:tblpY="5011"/>
        <w:tblW w:w="147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602"/>
        <w:gridCol w:w="1701"/>
        <w:gridCol w:w="1701"/>
        <w:gridCol w:w="1559"/>
        <w:gridCol w:w="5091"/>
      </w:tblGrid>
      <w:tr w:rsidR="00076B61" w:rsidRPr="001161E7" w:rsidTr="00076B61">
        <w:trPr>
          <w:trHeight w:val="726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Descripción del Servicio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Monto Anual (Promedio)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Precios Unitarios Mensual (Promedio)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Renglones presupuestarios correspondientes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Nit</w:t>
            </w:r>
            <w:proofErr w:type="spellEnd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y Proveedor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Detalles de los procesos de adjudicación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Contenido de los Contratos</w:t>
            </w:r>
          </w:p>
        </w:tc>
      </w:tr>
      <w:tr w:rsidR="00076B61" w:rsidRPr="001161E7" w:rsidTr="00076B61">
        <w:trPr>
          <w:trHeight w:val="7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Servicios de Telefonía </w:t>
            </w:r>
            <w:r w:rsidR="004A6881" w:rsidRPr="0097706C">
              <w:rPr>
                <w:rFonts w:ascii="Arial" w:hAnsi="Arial" w:cs="Arial"/>
                <w:sz w:val="18"/>
                <w:szCs w:val="18"/>
                <w:lang w:eastAsia="es-GT"/>
              </w:rPr>
              <w:t>Celular</w:t>
            </w:r>
            <w:r w:rsidR="004A6881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12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meses Acta de negociación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48" w:rsidRPr="0097706C" w:rsidRDefault="00A55648" w:rsidP="00A55648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A55648" w:rsidRPr="0097706C" w:rsidRDefault="00076B61" w:rsidP="00A5564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 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87,036.00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 7,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>253.00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549810-4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Comunicaciones Celulares, Sociedad Anónima.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6B61" w:rsidRPr="0097706C" w:rsidRDefault="0054761F" w:rsidP="00F40D4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 DE TELEFONIA CELULAR PARA USO DE LA UNIDAD PARA LA PREVENCIÓN COMUNITARIA DE LA VIOLENCIA DEL MINISTERIO DE GOBERNACIÓN CORRESPONDIENTE AL MES DE </w:t>
            </w:r>
            <w:r w:rsidR="006272B2">
              <w:rPr>
                <w:rFonts w:ascii="Arial" w:hAnsi="Arial" w:cs="Arial"/>
                <w:sz w:val="18"/>
                <w:szCs w:val="18"/>
                <w:lang w:eastAsia="es-GT"/>
              </w:rPr>
              <w:t>ENERO D</w:t>
            </w:r>
            <w:r w:rsidR="00940CE5">
              <w:rPr>
                <w:rFonts w:ascii="Arial" w:hAnsi="Arial" w:cs="Arial"/>
                <w:sz w:val="18"/>
                <w:szCs w:val="18"/>
                <w:lang w:eastAsia="es-GT"/>
              </w:rPr>
              <w:t>E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</w:t>
            </w:r>
            <w:r w:rsidR="006272B2">
              <w:rPr>
                <w:rFonts w:ascii="Arial" w:hAnsi="Arial" w:cs="Arial"/>
                <w:sz w:val="18"/>
                <w:szCs w:val="18"/>
                <w:lang w:eastAsia="es-GT"/>
              </w:rPr>
              <w:t>6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>, SEGÚN ACTA NÚMERO UPCV-003-2025. NOG: 25470647. CUR ORIGINAL 141.</w:t>
            </w:r>
          </w:p>
        </w:tc>
      </w:tr>
    </w:tbl>
    <w:p w:rsid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076B61" w:rsidRPr="001E1126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A55648" w:rsidRDefault="00A55648" w:rsidP="00076B61">
      <w:pPr>
        <w:rPr>
          <w:rFonts w:ascii="Arial" w:hAnsi="Arial" w:cs="Arial"/>
          <w:b/>
          <w:sz w:val="22"/>
        </w:rPr>
      </w:pPr>
    </w:p>
    <w:p w:rsidR="00076B61" w:rsidRPr="00C02DEA" w:rsidRDefault="00076B61" w:rsidP="00076B61">
      <w:pPr>
        <w:rPr>
          <w:rFonts w:ascii="Arial" w:hAnsi="Arial" w:cs="Arial"/>
          <w:b/>
          <w:sz w:val="20"/>
          <w:szCs w:val="20"/>
        </w:rPr>
      </w:pPr>
      <w:r w:rsidRPr="00C02DEA">
        <w:rPr>
          <w:rFonts w:ascii="Arial" w:hAnsi="Arial" w:cs="Arial"/>
          <w:b/>
          <w:sz w:val="20"/>
          <w:szCs w:val="20"/>
        </w:rPr>
        <w:t xml:space="preserve">NOTA: </w:t>
      </w:r>
    </w:p>
    <w:p w:rsidR="00CD59FD" w:rsidRPr="00C02DEA" w:rsidRDefault="00076B61" w:rsidP="000263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 xml:space="preserve">EL PAGO DE SERVICIO DE TELEFONÍA MOVIL CORRESPONDE AL MES </w:t>
      </w:r>
      <w:r w:rsidR="006258AE" w:rsidRPr="00C02DEA">
        <w:rPr>
          <w:rFonts w:ascii="Arial" w:hAnsi="Arial" w:cs="Arial"/>
          <w:sz w:val="20"/>
          <w:szCs w:val="20"/>
        </w:rPr>
        <w:t>D</w:t>
      </w:r>
      <w:r w:rsidR="006258AE">
        <w:rPr>
          <w:rFonts w:ascii="Arial" w:hAnsi="Arial" w:cs="Arial"/>
          <w:sz w:val="20"/>
          <w:szCs w:val="20"/>
        </w:rPr>
        <w:t xml:space="preserve">E </w:t>
      </w:r>
      <w:r w:rsidR="006272B2">
        <w:rPr>
          <w:rFonts w:ascii="Arial" w:hAnsi="Arial" w:cs="Arial"/>
          <w:kern w:val="0"/>
          <w:sz w:val="20"/>
          <w:szCs w:val="18"/>
          <w14:ligatures w14:val="none"/>
        </w:rPr>
        <w:t>ENERO</w:t>
      </w:r>
      <w:r w:rsidR="006258A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>DE 202</w:t>
      </w:r>
      <w:r w:rsidR="006272B2">
        <w:rPr>
          <w:rFonts w:ascii="Arial" w:hAnsi="Arial" w:cs="Arial"/>
          <w:kern w:val="0"/>
          <w:sz w:val="20"/>
          <w:szCs w:val="18"/>
          <w14:ligatures w14:val="none"/>
        </w:rPr>
        <w:t>6</w:t>
      </w:r>
      <w:r w:rsidRPr="00C93C6C">
        <w:rPr>
          <w:rFonts w:ascii="Arial" w:hAnsi="Arial" w:cs="Arial"/>
          <w:sz w:val="22"/>
          <w:szCs w:val="20"/>
        </w:rPr>
        <w:t>.</w:t>
      </w:r>
      <w:bookmarkStart w:id="1" w:name="_GoBack"/>
      <w:bookmarkEnd w:id="1"/>
    </w:p>
    <w:sectPr w:rsidR="00CD59FD" w:rsidRPr="00C02DEA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5092" w:rsidRDefault="00B35092" w:rsidP="00CD59FD">
      <w:r>
        <w:separator/>
      </w:r>
    </w:p>
  </w:endnote>
  <w:endnote w:type="continuationSeparator" w:id="0">
    <w:p w:rsidR="00B35092" w:rsidRDefault="00B35092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5092" w:rsidRDefault="00B35092" w:rsidP="00CD59FD">
      <w:r>
        <w:separator/>
      </w:r>
    </w:p>
  </w:footnote>
  <w:footnote w:type="continuationSeparator" w:id="0">
    <w:p w:rsidR="00B35092" w:rsidRDefault="00B35092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-894080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07D5F"/>
    <w:multiLevelType w:val="hybridMultilevel"/>
    <w:tmpl w:val="6D96B1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63B1"/>
    <w:rsid w:val="000371BA"/>
    <w:rsid w:val="00076B61"/>
    <w:rsid w:val="001415F0"/>
    <w:rsid w:val="00155F89"/>
    <w:rsid w:val="00172807"/>
    <w:rsid w:val="001D7199"/>
    <w:rsid w:val="00257B1D"/>
    <w:rsid w:val="00274C00"/>
    <w:rsid w:val="00324568"/>
    <w:rsid w:val="00345081"/>
    <w:rsid w:val="004572FD"/>
    <w:rsid w:val="004A6881"/>
    <w:rsid w:val="004A771A"/>
    <w:rsid w:val="004F6FD3"/>
    <w:rsid w:val="0054761F"/>
    <w:rsid w:val="006258AE"/>
    <w:rsid w:val="006272B2"/>
    <w:rsid w:val="006345BE"/>
    <w:rsid w:val="006471C8"/>
    <w:rsid w:val="00687EC2"/>
    <w:rsid w:val="006E7EAD"/>
    <w:rsid w:val="0074218A"/>
    <w:rsid w:val="00770026"/>
    <w:rsid w:val="00865858"/>
    <w:rsid w:val="00874A03"/>
    <w:rsid w:val="0087708B"/>
    <w:rsid w:val="008776B5"/>
    <w:rsid w:val="0089311A"/>
    <w:rsid w:val="00917B13"/>
    <w:rsid w:val="00940CE5"/>
    <w:rsid w:val="0097706C"/>
    <w:rsid w:val="0098007B"/>
    <w:rsid w:val="00981824"/>
    <w:rsid w:val="009F29EC"/>
    <w:rsid w:val="00A17296"/>
    <w:rsid w:val="00A50CCE"/>
    <w:rsid w:val="00A55648"/>
    <w:rsid w:val="00A81B32"/>
    <w:rsid w:val="00A86B40"/>
    <w:rsid w:val="00B32C41"/>
    <w:rsid w:val="00B35092"/>
    <w:rsid w:val="00B43B85"/>
    <w:rsid w:val="00BA2CDD"/>
    <w:rsid w:val="00C02DEA"/>
    <w:rsid w:val="00C904C3"/>
    <w:rsid w:val="00C93C6C"/>
    <w:rsid w:val="00CA5F13"/>
    <w:rsid w:val="00CD59FD"/>
    <w:rsid w:val="00CF4033"/>
    <w:rsid w:val="00D20E17"/>
    <w:rsid w:val="00D6183E"/>
    <w:rsid w:val="00E8586E"/>
    <w:rsid w:val="00EC60E6"/>
    <w:rsid w:val="00EE6CA8"/>
    <w:rsid w:val="00F0307A"/>
    <w:rsid w:val="00F40D4D"/>
    <w:rsid w:val="00F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;"/>
  <w14:docId w14:val="63FC76AC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Abigail Escobar Jiménez</cp:lastModifiedBy>
  <cp:revision>47</cp:revision>
  <cp:lastPrinted>2025-12-15T15:27:00Z</cp:lastPrinted>
  <dcterms:created xsi:type="dcterms:W3CDTF">2024-02-05T21:31:00Z</dcterms:created>
  <dcterms:modified xsi:type="dcterms:W3CDTF">2026-03-09T17:45:00Z</dcterms:modified>
</cp:coreProperties>
</file>