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7979E7" w:rsidRDefault="00076B61" w:rsidP="0090139B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90139B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076B61" w:rsidRDefault="00076B61" w:rsidP="007979E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7979E7">
        <w:rPr>
          <w:rFonts w:ascii="Arial" w:hAnsi="Arial" w:cs="Arial"/>
          <w:b/>
          <w:sz w:val="22"/>
          <w:szCs w:val="22"/>
        </w:rPr>
        <w:t>3</w:t>
      </w:r>
      <w:r w:rsidR="0090139B">
        <w:rPr>
          <w:rFonts w:ascii="Arial" w:hAnsi="Arial" w:cs="Arial"/>
          <w:b/>
          <w:sz w:val="22"/>
          <w:szCs w:val="22"/>
        </w:rPr>
        <w:t>0</w:t>
      </w:r>
      <w:r w:rsidR="00981824">
        <w:rPr>
          <w:rFonts w:ascii="Arial" w:hAnsi="Arial" w:cs="Arial"/>
          <w:b/>
          <w:sz w:val="22"/>
          <w:szCs w:val="22"/>
        </w:rPr>
        <w:t>/</w:t>
      </w:r>
      <w:r w:rsidR="00940CE5">
        <w:rPr>
          <w:rFonts w:ascii="Arial" w:hAnsi="Arial" w:cs="Arial"/>
          <w:b/>
          <w:sz w:val="22"/>
          <w:szCs w:val="22"/>
        </w:rPr>
        <w:t>0</w:t>
      </w:r>
      <w:r w:rsidR="0090139B">
        <w:rPr>
          <w:rFonts w:ascii="Arial" w:hAnsi="Arial" w:cs="Arial"/>
          <w:b/>
          <w:sz w:val="22"/>
          <w:szCs w:val="22"/>
        </w:rPr>
        <w:t>4</w:t>
      </w:r>
      <w:r w:rsidR="00940CE5">
        <w:rPr>
          <w:rFonts w:ascii="Arial" w:hAnsi="Arial" w:cs="Arial"/>
          <w:b/>
          <w:sz w:val="22"/>
          <w:szCs w:val="22"/>
        </w:rPr>
        <w:t>/</w:t>
      </w:r>
      <w:r w:rsidR="00981824">
        <w:rPr>
          <w:rFonts w:ascii="Arial" w:hAnsi="Arial" w:cs="Arial"/>
          <w:b/>
          <w:sz w:val="22"/>
          <w:szCs w:val="22"/>
        </w:rPr>
        <w:t>202</w:t>
      </w:r>
      <w:r w:rsidR="00940CE5">
        <w:rPr>
          <w:rFonts w:ascii="Arial" w:hAnsi="Arial" w:cs="Arial"/>
          <w:b/>
          <w:sz w:val="22"/>
          <w:szCs w:val="22"/>
        </w:rPr>
        <w:t>6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87,036.00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253.00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 DE TELEFONIA CELULAR PARA USO DE LA UNIDAD PARA LA PREVENCIÓN COMUNITARIA DE LA VIOLENCIA DEL MINISTERIO DE GOBERNACIÓN CORRESPONDIENTE AL MES DE </w:t>
            </w:r>
            <w:r w:rsidR="0090139B">
              <w:rPr>
                <w:rFonts w:ascii="Arial" w:hAnsi="Arial" w:cs="Arial"/>
                <w:sz w:val="18"/>
                <w:szCs w:val="18"/>
                <w:lang w:eastAsia="es-GT"/>
              </w:rPr>
              <w:t>MARZO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</w:t>
            </w:r>
            <w:r w:rsidR="00940CE5">
              <w:rPr>
                <w:rFonts w:ascii="Arial" w:hAnsi="Arial" w:cs="Arial"/>
                <w:sz w:val="18"/>
                <w:szCs w:val="18"/>
                <w:lang w:eastAsia="es-GT"/>
              </w:rPr>
              <w:t>E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>, SEGÚN ACTA NÚMERO UPCV-003-2025. NOG: 25470647. CUR ORIGINAL 141.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bookmarkStart w:id="1" w:name="_GoBack"/>
      <w:bookmarkEnd w:id="1"/>
      <w:r w:rsidR="006258AE">
        <w:rPr>
          <w:rFonts w:ascii="Arial" w:hAnsi="Arial" w:cs="Arial"/>
          <w:sz w:val="20"/>
          <w:szCs w:val="20"/>
        </w:rPr>
        <w:t xml:space="preserve">E </w:t>
      </w:r>
      <w:r w:rsidR="0090139B">
        <w:rPr>
          <w:rFonts w:ascii="Arial" w:hAnsi="Arial" w:cs="Arial"/>
          <w:kern w:val="0"/>
          <w:sz w:val="20"/>
          <w:szCs w:val="18"/>
          <w14:ligatures w14:val="none"/>
        </w:rPr>
        <w:t xml:space="preserve">MARZO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6272B2">
        <w:rPr>
          <w:rFonts w:ascii="Arial" w:hAnsi="Arial" w:cs="Arial"/>
          <w:kern w:val="0"/>
          <w:sz w:val="20"/>
          <w:szCs w:val="18"/>
          <w14:ligatures w14:val="none"/>
        </w:rPr>
        <w:t>6</w:t>
      </w:r>
      <w:r w:rsidRPr="00C93C6C">
        <w:rPr>
          <w:rFonts w:ascii="Arial" w:hAnsi="Arial" w:cs="Arial"/>
          <w:sz w:val="22"/>
          <w:szCs w:val="20"/>
        </w:rPr>
        <w:t>.</w:t>
      </w:r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-894080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72807"/>
    <w:rsid w:val="001D7199"/>
    <w:rsid w:val="00257B1D"/>
    <w:rsid w:val="00274C00"/>
    <w:rsid w:val="0028170F"/>
    <w:rsid w:val="00324568"/>
    <w:rsid w:val="00345081"/>
    <w:rsid w:val="004572FD"/>
    <w:rsid w:val="004A6881"/>
    <w:rsid w:val="004A771A"/>
    <w:rsid w:val="004F6FD3"/>
    <w:rsid w:val="0054761F"/>
    <w:rsid w:val="006258AE"/>
    <w:rsid w:val="006272B2"/>
    <w:rsid w:val="006345BE"/>
    <w:rsid w:val="006471C8"/>
    <w:rsid w:val="00687EC2"/>
    <w:rsid w:val="006E7EAD"/>
    <w:rsid w:val="0074218A"/>
    <w:rsid w:val="00770026"/>
    <w:rsid w:val="007979E7"/>
    <w:rsid w:val="00865858"/>
    <w:rsid w:val="00874A03"/>
    <w:rsid w:val="0087708B"/>
    <w:rsid w:val="008776B5"/>
    <w:rsid w:val="0089311A"/>
    <w:rsid w:val="0090139B"/>
    <w:rsid w:val="00917B13"/>
    <w:rsid w:val="00940CE5"/>
    <w:rsid w:val="0097706C"/>
    <w:rsid w:val="0098007B"/>
    <w:rsid w:val="00981824"/>
    <w:rsid w:val="009F29EC"/>
    <w:rsid w:val="00A17296"/>
    <w:rsid w:val="00A50CCE"/>
    <w:rsid w:val="00A55648"/>
    <w:rsid w:val="00A81B32"/>
    <w:rsid w:val="00A86B40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C60E6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4840B233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50</cp:revision>
  <cp:lastPrinted>2026-04-09T21:32:00Z</cp:lastPrinted>
  <dcterms:created xsi:type="dcterms:W3CDTF">2024-02-05T21:31:00Z</dcterms:created>
  <dcterms:modified xsi:type="dcterms:W3CDTF">2026-05-06T01:46:00Z</dcterms:modified>
</cp:coreProperties>
</file>