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931658" w:rsidRDefault="00AE3799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Coordinador General</w:t>
      </w:r>
      <w:r w:rsidR="00931658">
        <w:rPr>
          <w:rFonts w:ascii="Arial" w:hAnsi="Arial" w:cs="Arial"/>
          <w:b/>
          <w:sz w:val="22"/>
          <w:szCs w:val="22"/>
        </w:rPr>
        <w:t xml:space="preserve">: Lic. </w:t>
      </w:r>
      <w:r>
        <w:rPr>
          <w:rFonts w:ascii="Arial" w:hAnsi="Arial" w:cs="Arial"/>
          <w:b/>
          <w:sz w:val="22"/>
          <w:szCs w:val="22"/>
        </w:rPr>
        <w:t xml:space="preserve">Nicolás Reanda Ajchomajay </w:t>
      </w:r>
    </w:p>
    <w:p w:rsidR="00931658" w:rsidRPr="001E1126" w:rsidRDefault="00931658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812EF1">
        <w:rPr>
          <w:rFonts w:ascii="Arial" w:hAnsi="Arial" w:cs="Arial"/>
          <w:b/>
          <w:sz w:val="22"/>
          <w:szCs w:val="22"/>
        </w:rPr>
        <w:t>Yeni</w:t>
      </w:r>
      <w:proofErr w:type="spellEnd"/>
      <w:r w:rsidR="00812EF1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31658" w:rsidRPr="001E1126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F456C0">
        <w:rPr>
          <w:rFonts w:ascii="Arial" w:hAnsi="Arial" w:cs="Arial"/>
          <w:b/>
          <w:sz w:val="22"/>
          <w:szCs w:val="22"/>
        </w:rPr>
        <w:t>3</w:t>
      </w:r>
      <w:r w:rsidR="005027CA">
        <w:rPr>
          <w:rFonts w:ascii="Arial" w:hAnsi="Arial" w:cs="Arial"/>
          <w:b/>
          <w:sz w:val="22"/>
          <w:szCs w:val="22"/>
        </w:rPr>
        <w:t>0</w:t>
      </w:r>
      <w:r w:rsidR="008F4966">
        <w:rPr>
          <w:rFonts w:ascii="Arial" w:hAnsi="Arial" w:cs="Arial"/>
          <w:b/>
          <w:sz w:val="22"/>
          <w:szCs w:val="22"/>
        </w:rPr>
        <w:t>/0</w:t>
      </w:r>
      <w:r w:rsidR="005027CA">
        <w:rPr>
          <w:rFonts w:ascii="Arial" w:hAnsi="Arial" w:cs="Arial"/>
          <w:b/>
          <w:sz w:val="22"/>
          <w:szCs w:val="22"/>
        </w:rPr>
        <w:t>9</w:t>
      </w:r>
      <w:r w:rsidR="008F4966">
        <w:rPr>
          <w:rFonts w:ascii="Arial" w:hAnsi="Arial" w:cs="Arial"/>
          <w:b/>
          <w:sz w:val="22"/>
          <w:szCs w:val="22"/>
        </w:rPr>
        <w:t>/2025</w:t>
      </w:r>
    </w:p>
    <w:p w:rsidR="00931658" w:rsidRP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2F4EC2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19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2F4EC2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4EC2">
        <w:rPr>
          <w:rFonts w:ascii="Arial" w:hAnsi="Arial" w:cs="Arial"/>
          <w:b/>
          <w:bCs/>
          <w:color w:val="000000"/>
          <w:sz w:val="22"/>
          <w:szCs w:val="22"/>
        </w:rPr>
        <w:t>CONTRATOS DE ARRENDAMIENTO</w:t>
      </w:r>
    </w:p>
    <w:tbl>
      <w:tblPr>
        <w:tblpPr w:leftFromText="141" w:rightFromText="141" w:vertAnchor="page" w:horzAnchor="margin" w:tblpX="-431" w:tblpY="3706"/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528"/>
        <w:gridCol w:w="2072"/>
        <w:gridCol w:w="1418"/>
        <w:gridCol w:w="2386"/>
      </w:tblGrid>
      <w:tr w:rsidR="00461E5F" w:rsidRPr="00902C59" w:rsidTr="00CF015A">
        <w:tc>
          <w:tcPr>
            <w:tcW w:w="2743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Características del bien o servicio adquirido</w:t>
            </w:r>
          </w:p>
        </w:tc>
        <w:tc>
          <w:tcPr>
            <w:tcW w:w="5528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Motivos del arrendamiento</w:t>
            </w:r>
          </w:p>
        </w:tc>
        <w:tc>
          <w:tcPr>
            <w:tcW w:w="2072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generales del arrendatario</w:t>
            </w: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(Nombre y NIT)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Monto del contrato</w:t>
            </w:r>
          </w:p>
        </w:tc>
        <w:tc>
          <w:tcPr>
            <w:tcW w:w="2386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Plazo del contrato</w:t>
            </w:r>
          </w:p>
        </w:tc>
      </w:tr>
      <w:tr w:rsidR="00A0622D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A0622D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Vía 4 1-61 zona 4,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 UPCV-0</w:t>
            </w:r>
            <w:r w:rsidR="00C46ABE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13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 las oficinas de la Unidad para la Prevención Comunitaria de la Violencia del Ministerio de Gobernación.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INDUSTRIAS EXCLUSIVAS GABRIELA S.A.</w:t>
            </w:r>
          </w:p>
          <w:p w:rsidR="00F90BFE" w:rsidRPr="00E31063" w:rsidRDefault="00F90BFE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F90BFE">
              <w:rPr>
                <w:rFonts w:ascii="Arial" w:hAnsi="Arial" w:cs="Arial"/>
                <w:sz w:val="18"/>
                <w:szCs w:val="18"/>
                <w:lang w:eastAsia="es-GT"/>
              </w:rPr>
              <w:t>NIT: 1710303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AE4C62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91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,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00.00</w:t>
            </w:r>
          </w:p>
          <w:p w:rsidR="00A0622D" w:rsidRPr="00E31063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622D" w:rsidRPr="008F4966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01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JULIO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1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DICIEMBRE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Default="008B69B7" w:rsidP="008B69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el ala sur del sótano del bien inmueble ubicado en la 6 avenida 1-27 zona 4 de esta ciudad Edificio Mini,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09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</w:p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Bien inmueble para el funcionamiento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de la Sección de Inventarios, Sección de Almacén y Bodega de la Un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idad para la Prevención Comunitaria de la Violencia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 del Ministerio de Gobernación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>EDIFICACIONES EL AMPARO SOCIEDAD ANÓNIMA NIT:1696386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707,395.68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>14 DE MARZO 2025 AL 31 DE DICIEMBRE DE 2025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Default="008B69B7" w:rsidP="008B69B7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Ruta 2, 03-63 Edificio Campus Tecnológico Torre I, de la zona 4 de esta ciudad. 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10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</w:t>
            </w:r>
          </w:p>
          <w:p w:rsidR="008B69B7" w:rsidRDefault="008B69B7" w:rsidP="008B69B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8B69B7" w:rsidRPr="00534FC4" w:rsidRDefault="008B69B7" w:rsidP="008B69B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CF015A" w:rsidRDefault="008B69B7" w:rsidP="008B69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03F6F">
              <w:rPr>
                <w:rFonts w:ascii="Arial" w:hAnsi="Arial" w:cs="Arial"/>
                <w:sz w:val="18"/>
                <w:szCs w:val="18"/>
              </w:rPr>
              <w:t xml:space="preserve">ien inmueble para el funcionamiento de las oficinas para </w:t>
            </w:r>
            <w:r>
              <w:rPr>
                <w:rFonts w:ascii="Arial" w:hAnsi="Arial" w:cs="Arial"/>
                <w:sz w:val="18"/>
                <w:szCs w:val="18"/>
              </w:rPr>
              <w:t xml:space="preserve">los Departamentos y Secciones siguientes: Departamento de Capacitación y Desarrollo Institucional. Sección de Formación y Capacitación. Sección de Desarrollo Institucional. Sección de Producción de Materiales. Sección de Informática de la Unidad para la Prevención Comunitaria de la Violencia del Ministerio de Gobernación y Bodega Anexa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exclusiva para UPCV.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03F6F" w:rsidRDefault="008B69B7" w:rsidP="008B69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CAMPUS TECNOLÓGICO, S.A. </w:t>
            </w:r>
          </w:p>
          <w:p w:rsidR="008B69B7" w:rsidRPr="00803F6F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NIT: 3546914-5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540,015.96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>14 DE MARZO 2025 AL 31 DE DICIEMBRE DE 2025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el </w:t>
            </w:r>
            <w:r w:rsidRPr="008B69B7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Barrio El Porvenir 2, camino a la Aldea Casas Viejas, Guastatoya, El Progreso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UPCV-013-2025.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del Programa de Prevención y Erradicación de la Violencia Intrafamiliar -PROPEVI- en el Departamento de El Progreso, Municipio de Guastatoya a cargo de la Unidad para la Prevención Comunitaria de la Violencia del Ministerio de Gobernación.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GLADIS MARLENI QUIJADA VELA DE OLIVA                                 NIT: 22391673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90,000.00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9C070C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ABRIL AL 31 DE DICIEMBRE DE 2025</w:t>
            </w:r>
          </w:p>
        </w:tc>
      </w:tr>
    </w:tbl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  <w:bookmarkStart w:id="0" w:name="_GoBack"/>
      <w:bookmarkEnd w:id="0"/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tbl>
      <w:tblPr>
        <w:tblpPr w:leftFromText="141" w:rightFromText="141" w:vertAnchor="page" w:horzAnchor="margin" w:tblpY="2026"/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528"/>
        <w:gridCol w:w="2072"/>
        <w:gridCol w:w="1418"/>
        <w:gridCol w:w="2386"/>
      </w:tblGrid>
      <w:tr w:rsidR="005027CA" w:rsidRPr="009C070C" w:rsidTr="005027CA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1er avenida 4-30 zona 3 del Municipio de Cuilapa, Santa Rosa.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14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Cuilapa Departamento de Santa Rosa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PEDRO ARNULFO MAIRÉN ALEMÁN 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173188-2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102,000.00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27CA" w:rsidRPr="009C070C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15 DE AGOSTO DE 2025 AL 14 DE AGOSTO DE 2026</w:t>
            </w:r>
          </w:p>
        </w:tc>
      </w:tr>
    </w:tbl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931658" w:rsidP="00931658">
      <w:pPr>
        <w:rPr>
          <w:rFonts w:ascii="Arial" w:hAnsi="Arial" w:cs="Arial"/>
          <w:b/>
          <w:sz w:val="22"/>
        </w:rPr>
      </w:pPr>
      <w:r w:rsidRPr="00F50653">
        <w:rPr>
          <w:rFonts w:ascii="Arial" w:hAnsi="Arial" w:cs="Arial"/>
          <w:b/>
          <w:sz w:val="22"/>
        </w:rPr>
        <w:t>NOTA</w:t>
      </w:r>
    </w:p>
    <w:p w:rsidR="00BB6615" w:rsidRDefault="00BB6615" w:rsidP="00931658">
      <w:pPr>
        <w:rPr>
          <w:rFonts w:ascii="Arial" w:hAnsi="Arial" w:cs="Arial"/>
          <w:b/>
          <w:sz w:val="22"/>
        </w:rPr>
      </w:pPr>
    </w:p>
    <w:p w:rsidR="00BB6615" w:rsidRPr="00BB6615" w:rsidRDefault="00A0622D" w:rsidP="00BB661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0679D">
        <w:rPr>
          <w:rFonts w:ascii="Arial" w:hAnsi="Arial" w:cs="Arial"/>
          <w:sz w:val="18"/>
          <w:szCs w:val="18"/>
        </w:rPr>
        <w:t>El pago mensual de Industrias Exclusivas Gabriela, S.A. es de Q. 11</w:t>
      </w:r>
      <w:r w:rsidR="00C46ABE">
        <w:rPr>
          <w:rFonts w:ascii="Arial" w:hAnsi="Arial" w:cs="Arial"/>
          <w:sz w:val="18"/>
          <w:szCs w:val="18"/>
        </w:rPr>
        <w:t>5</w:t>
      </w:r>
      <w:r w:rsidRPr="0060679D">
        <w:rPr>
          <w:rFonts w:ascii="Arial" w:hAnsi="Arial" w:cs="Arial"/>
          <w:sz w:val="18"/>
          <w:szCs w:val="18"/>
        </w:rPr>
        <w:t>,</w:t>
      </w:r>
      <w:r w:rsidR="00C46ABE">
        <w:rPr>
          <w:rFonts w:ascii="Arial" w:hAnsi="Arial" w:cs="Arial"/>
          <w:sz w:val="18"/>
          <w:szCs w:val="18"/>
        </w:rPr>
        <w:t>2</w:t>
      </w:r>
      <w:r w:rsidRPr="0060679D">
        <w:rPr>
          <w:rFonts w:ascii="Arial" w:hAnsi="Arial" w:cs="Arial"/>
          <w:sz w:val="18"/>
          <w:szCs w:val="18"/>
        </w:rPr>
        <w:t xml:space="preserve">00.00 del bien inmueble de las oficinas de la Unidad para la Prevención Comunitaria de la Violencia corresponden al mes de </w:t>
      </w:r>
      <w:r w:rsidR="005027CA">
        <w:rPr>
          <w:rFonts w:ascii="Arial" w:hAnsi="Arial" w:cs="Arial"/>
          <w:sz w:val="18"/>
          <w:szCs w:val="18"/>
        </w:rPr>
        <w:t>agosto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FB4DFE" w:rsidRPr="00CD577B" w:rsidRDefault="009B587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A4C92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="007A4C92" w:rsidRPr="007A4C92">
        <w:rPr>
          <w:rFonts w:ascii="Arial" w:hAnsi="Arial" w:cs="Arial"/>
          <w:sz w:val="18"/>
        </w:rPr>
        <w:t xml:space="preserve"> </w:t>
      </w:r>
      <w:r w:rsidR="007A4C92">
        <w:rPr>
          <w:rFonts w:ascii="Arial" w:hAnsi="Arial" w:cs="Arial"/>
          <w:sz w:val="18"/>
        </w:rPr>
        <w:t>Edificaciones El Amparo</w:t>
      </w:r>
      <w:r w:rsidR="007A4C92" w:rsidRPr="007A4C92">
        <w:rPr>
          <w:rFonts w:ascii="Arial" w:hAnsi="Arial" w:cs="Arial"/>
          <w:sz w:val="18"/>
        </w:rPr>
        <w:t xml:space="preserve">, </w:t>
      </w:r>
      <w:r w:rsidR="007A4C92">
        <w:rPr>
          <w:rFonts w:ascii="Arial" w:hAnsi="Arial" w:cs="Arial"/>
          <w:sz w:val="18"/>
        </w:rPr>
        <w:t>S.A.</w:t>
      </w:r>
      <w:r w:rsidR="00CD577B">
        <w:rPr>
          <w:rFonts w:ascii="Arial" w:hAnsi="Arial" w:cs="Arial"/>
          <w:sz w:val="18"/>
        </w:rPr>
        <w:t xml:space="preserve"> es de Q</w:t>
      </w:r>
      <w:r w:rsidR="007A4C92">
        <w:rPr>
          <w:rFonts w:ascii="Arial" w:hAnsi="Arial" w:cs="Arial"/>
          <w:sz w:val="18"/>
        </w:rPr>
        <w:t>.</w:t>
      </w:r>
      <w:r w:rsidR="00CD577B">
        <w:rPr>
          <w:rFonts w:ascii="Arial" w:hAnsi="Arial" w:cs="Arial"/>
          <w:sz w:val="18"/>
        </w:rPr>
        <w:t xml:space="preserve"> 74,232.88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5027CA">
        <w:rPr>
          <w:rFonts w:ascii="Arial" w:hAnsi="Arial" w:cs="Arial"/>
          <w:sz w:val="18"/>
          <w:szCs w:val="18"/>
        </w:rPr>
        <w:t>agosto</w:t>
      </w:r>
      <w:r w:rsidR="00CD577B" w:rsidRPr="0060679D">
        <w:rPr>
          <w:rFonts w:ascii="Arial" w:hAnsi="Arial" w:cs="Arial"/>
          <w:sz w:val="18"/>
          <w:szCs w:val="18"/>
        </w:rPr>
        <w:t xml:space="preserve"> de 2025.</w:t>
      </w:r>
    </w:p>
    <w:p w:rsidR="00CD577B" w:rsidRPr="00CD577B" w:rsidRDefault="007A4C9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Pr="00CD577B">
        <w:rPr>
          <w:rFonts w:ascii="Arial" w:hAnsi="Arial" w:cs="Arial"/>
          <w:sz w:val="18"/>
        </w:rPr>
        <w:t xml:space="preserve"> Campus Tecnológico, S.A</w:t>
      </w:r>
      <w:r w:rsidR="00CD577B">
        <w:rPr>
          <w:rFonts w:ascii="Arial" w:hAnsi="Arial" w:cs="Arial"/>
          <w:sz w:val="18"/>
        </w:rPr>
        <w:t xml:space="preserve"> es de Q. 56,342.38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5027CA">
        <w:rPr>
          <w:rFonts w:ascii="Arial" w:hAnsi="Arial" w:cs="Arial"/>
          <w:sz w:val="18"/>
          <w:szCs w:val="18"/>
        </w:rPr>
        <w:t>agosto</w:t>
      </w:r>
      <w:r w:rsidR="00CD577B" w:rsidRPr="0060679D">
        <w:rPr>
          <w:rFonts w:ascii="Arial" w:hAnsi="Arial" w:cs="Arial"/>
          <w:sz w:val="18"/>
          <w:szCs w:val="18"/>
        </w:rPr>
        <w:t xml:space="preserve"> de 2025.</w:t>
      </w:r>
    </w:p>
    <w:p w:rsidR="007A4C92" w:rsidRDefault="007A4C92" w:rsidP="00884D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 </w:t>
      </w:r>
      <w:r w:rsidR="000A1761" w:rsidRPr="00CD577B">
        <w:rPr>
          <w:rFonts w:ascii="Arial" w:hAnsi="Arial" w:cs="Arial"/>
          <w:sz w:val="18"/>
        </w:rPr>
        <w:t>se realizó por medio de Acta de negociación, esto debido a que no sobrepasan los Q100,000.00.</w:t>
      </w:r>
    </w:p>
    <w:p w:rsidR="00CD577B" w:rsidRDefault="00CD577B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r w:rsidRPr="00CD577B">
        <w:rPr>
          <w:rFonts w:ascii="Arial" w:hAnsi="Arial" w:cs="Arial"/>
          <w:sz w:val="18"/>
        </w:rPr>
        <w:t xml:space="preserve">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</w:t>
      </w:r>
      <w:r>
        <w:rPr>
          <w:rFonts w:ascii="Arial" w:hAnsi="Arial" w:cs="Arial"/>
          <w:sz w:val="18"/>
        </w:rPr>
        <w:t xml:space="preserve"> es de Q. 10,000.00 </w:t>
      </w:r>
      <w:r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5027CA">
        <w:rPr>
          <w:rFonts w:ascii="Arial" w:hAnsi="Arial" w:cs="Arial"/>
          <w:sz w:val="18"/>
          <w:szCs w:val="18"/>
        </w:rPr>
        <w:t>agosto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686536" w:rsidRDefault="00686536" w:rsidP="00686536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Pedro Arnulfo </w:t>
      </w:r>
      <w:proofErr w:type="spellStart"/>
      <w:r>
        <w:rPr>
          <w:rFonts w:ascii="Arial" w:hAnsi="Arial" w:cs="Arial"/>
          <w:sz w:val="18"/>
        </w:rPr>
        <w:t>Mairén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Alemán</w:t>
      </w:r>
      <w:proofErr w:type="gramEnd"/>
      <w:r>
        <w:rPr>
          <w:rFonts w:ascii="Arial" w:hAnsi="Arial" w:cs="Arial"/>
          <w:sz w:val="18"/>
        </w:rPr>
        <w:t xml:space="preserve"> es de Q. 8.500.00 </w:t>
      </w:r>
      <w:r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</w:t>
      </w:r>
      <w:r>
        <w:rPr>
          <w:rFonts w:ascii="Arial" w:hAnsi="Arial" w:cs="Arial"/>
          <w:sz w:val="18"/>
          <w:szCs w:val="18"/>
        </w:rPr>
        <w:t>15</w:t>
      </w:r>
      <w:r w:rsidRPr="0060679D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agosto al 14 de septiembre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5027CA" w:rsidRPr="00686536" w:rsidRDefault="005027CA" w:rsidP="00686536">
      <w:pPr>
        <w:ind w:left="284"/>
        <w:rPr>
          <w:rFonts w:ascii="Arial" w:hAnsi="Arial" w:cs="Arial"/>
          <w:sz w:val="18"/>
          <w:szCs w:val="18"/>
        </w:rPr>
      </w:pPr>
    </w:p>
    <w:p w:rsidR="00CD577B" w:rsidRPr="00CD577B" w:rsidRDefault="00CD577B" w:rsidP="00CD577B">
      <w:pPr>
        <w:pStyle w:val="Prrafodelista"/>
        <w:ind w:left="644"/>
        <w:jc w:val="both"/>
        <w:rPr>
          <w:rFonts w:ascii="Arial" w:hAnsi="Arial" w:cs="Arial"/>
          <w:sz w:val="18"/>
        </w:rPr>
      </w:pPr>
    </w:p>
    <w:sectPr w:rsidR="00CD577B" w:rsidRPr="00CD577B" w:rsidSect="00CF015A">
      <w:headerReference w:type="default" r:id="rId7"/>
      <w:footerReference w:type="default" r:id="rId8"/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D8D" w:rsidRDefault="006C5D8D" w:rsidP="00CD59FD">
      <w:r>
        <w:separator/>
      </w:r>
    </w:p>
  </w:endnote>
  <w:endnote w:type="continuationSeparator" w:id="0">
    <w:p w:rsidR="006C5D8D" w:rsidRDefault="006C5D8D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D8D" w:rsidRDefault="006C5D8D" w:rsidP="00CD59FD">
      <w:r>
        <w:separator/>
      </w:r>
    </w:p>
  </w:footnote>
  <w:footnote w:type="continuationSeparator" w:id="0">
    <w:p w:rsidR="006C5D8D" w:rsidRDefault="006C5D8D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-1113155</wp:posOffset>
          </wp:positionV>
          <wp:extent cx="7762549" cy="100457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CEE6FF8E"/>
    <w:lvl w:ilvl="0" w:tplc="F084A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87384"/>
    <w:rsid w:val="000A1761"/>
    <w:rsid w:val="000B5B89"/>
    <w:rsid w:val="000D0B78"/>
    <w:rsid w:val="000F6CC1"/>
    <w:rsid w:val="001F45AB"/>
    <w:rsid w:val="0024208F"/>
    <w:rsid w:val="0028139C"/>
    <w:rsid w:val="00324568"/>
    <w:rsid w:val="00345081"/>
    <w:rsid w:val="003D23B8"/>
    <w:rsid w:val="00461E5F"/>
    <w:rsid w:val="005027CA"/>
    <w:rsid w:val="00552C6C"/>
    <w:rsid w:val="005F3892"/>
    <w:rsid w:val="0060679D"/>
    <w:rsid w:val="006326B9"/>
    <w:rsid w:val="0063758A"/>
    <w:rsid w:val="0068355D"/>
    <w:rsid w:val="00686536"/>
    <w:rsid w:val="006C5D8D"/>
    <w:rsid w:val="006E71DC"/>
    <w:rsid w:val="007015DA"/>
    <w:rsid w:val="00711325"/>
    <w:rsid w:val="00743DB7"/>
    <w:rsid w:val="007A4C92"/>
    <w:rsid w:val="00812EF1"/>
    <w:rsid w:val="0083694F"/>
    <w:rsid w:val="008B69B7"/>
    <w:rsid w:val="008F4966"/>
    <w:rsid w:val="00917B13"/>
    <w:rsid w:val="00931658"/>
    <w:rsid w:val="009B5872"/>
    <w:rsid w:val="009C070C"/>
    <w:rsid w:val="00A0622D"/>
    <w:rsid w:val="00A2643F"/>
    <w:rsid w:val="00A462E6"/>
    <w:rsid w:val="00AE3799"/>
    <w:rsid w:val="00AE4C62"/>
    <w:rsid w:val="00B32C41"/>
    <w:rsid w:val="00B35092"/>
    <w:rsid w:val="00BB6615"/>
    <w:rsid w:val="00C46ABE"/>
    <w:rsid w:val="00C65288"/>
    <w:rsid w:val="00C922B0"/>
    <w:rsid w:val="00CD577B"/>
    <w:rsid w:val="00CD59FD"/>
    <w:rsid w:val="00CF015A"/>
    <w:rsid w:val="00D0123C"/>
    <w:rsid w:val="00D57961"/>
    <w:rsid w:val="00D6183E"/>
    <w:rsid w:val="00DB1672"/>
    <w:rsid w:val="00E31063"/>
    <w:rsid w:val="00E6785D"/>
    <w:rsid w:val="00F0307A"/>
    <w:rsid w:val="00F321B9"/>
    <w:rsid w:val="00F36087"/>
    <w:rsid w:val="00F456C0"/>
    <w:rsid w:val="00F8758A"/>
    <w:rsid w:val="00F90BFE"/>
    <w:rsid w:val="00FB4DFE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0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2025-09-08T21:32:00Z</cp:lastPrinted>
  <dcterms:created xsi:type="dcterms:W3CDTF">2025-10-13T20:21:00Z</dcterms:created>
  <dcterms:modified xsi:type="dcterms:W3CDTF">2025-10-13T20:21:00Z</dcterms:modified>
</cp:coreProperties>
</file>